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8D" w:rsidRDefault="0015218D" w:rsidP="0015218D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1F777424" wp14:editId="44AF4EB0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:rsidR="0015218D" w:rsidRDefault="0015218D" w:rsidP="0015218D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CB4495">
        <w:rPr>
          <w:rFonts w:cstheme="minorHAnsi"/>
          <w:b/>
          <w:sz w:val="26"/>
          <w:szCs w:val="24"/>
        </w:rPr>
        <w:t>JANVIER</w:t>
      </w:r>
      <w:r w:rsidR="008A7CED">
        <w:rPr>
          <w:rFonts w:cstheme="minorHAnsi"/>
          <w:b/>
          <w:sz w:val="26"/>
          <w:szCs w:val="24"/>
        </w:rPr>
        <w:t xml:space="preserve"> </w:t>
      </w:r>
      <w:r w:rsidRPr="00A509F4">
        <w:rPr>
          <w:rFonts w:cstheme="minorHAnsi"/>
          <w:b/>
          <w:sz w:val="26"/>
          <w:szCs w:val="24"/>
        </w:rPr>
        <w:t>2018</w:t>
      </w:r>
    </w:p>
    <w:p w:rsidR="0015218D" w:rsidRPr="00A509F4" w:rsidRDefault="0015218D" w:rsidP="0015218D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</w:rPr>
        <mc:AlternateContent>
          <mc:Choice Requires="wps">
            <w:drawing>
              <wp:inline distT="0" distB="0" distL="0" distR="0" wp14:anchorId="146A85F7" wp14:editId="55A207E8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18D" w:rsidRDefault="0015218D" w:rsidP="001521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:rsidR="0015218D" w:rsidRDefault="0015218D" w:rsidP="001521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CB4495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Janvier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201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6A85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wwxAIAANQFAAAOAAAAZHJzL2Uyb0RvYy54bWysVMlu2zAQvRfoPxC8K1pK25IQOUgsqyiQ&#10;LkDSS2+0RFlEJVIlactu0X/vkPKWBAWKoDoQJGf0Zt7M41zf7LoWbZnSXIoMh1cBRkyUsuJineGv&#10;j4UXY6QNFRVtpWAZ3jONb+Zv31wPfcoi2ci2YgoBiNDp0Ge4MaZPfV+XDeuovpI9E2CspeqogaNa&#10;+5WiA6B3rR8FwdQfpKp6JUumNdzmoxHPHX5ds9J8rmvNDGozDLkZtyq3ruzqz69pula0b3h5SIO+&#10;IouOcgFBT1A5NRRtFH8B1fFSSS1rc1XKzpd1zUvmOACbMHjG5qGhPXNcoDi6P5VJ/z/Y8tP2i0K8&#10;gt5hJGgHLfoGjUIVQ4btDEOhLdHQ6xQ8H3rwNbs7ubPulq7u72X5XSMhFw0Va3arlBwaRitI0QIe&#10;rh2Rx30P6A7PvwAc0bWFXg0fZQU+dGOkg9/VqrNhoE4IYkID96emQXaohMsJmcziaIJRCbbplMRk&#10;YlP2aXr8u1favGeyQ3aTYQWicOh0e6/N6Hp0scGELHjbOmG04skFYI43EBt+tTabhevzryRIlvEy&#10;Jh6JpkuPBHnu3RYL4k2LcDbJ3+WLRR7+tnFDkja8qpiwYY6aC8m/9fSg/lEtJ9Vp2fLKwtmUtFqv&#10;Fq1CWwqaL9x3KMiFm/80DVcv4PKMUhiR4C5KvGIazzxSkImXzILYC8LkLpkGJCF58ZTSPQftjK8Z&#10;AryWEhoynEygp47OX7kF7nvJjaYdNzBVWt5lOD450dQKcykq11pDeTvuL0ph0z+XAtp9bLQTrNXo&#10;qFazW+0Axap4Jas9SFdJUBboE0YhbBqpfmI0wFjJsP6xoYph1H4Q8CiSkBA7h9wBlBvBQV1aVpcW&#10;KkqAyrDBaNwuzDi7Nr3i6wYiHZ/hLTyZgjs1n7MCKvYAo8OROow5O5suz87rPIznfwAAAP//AwBQ&#10;SwMEFAAGAAgAAAAhAHCvvSDaAAAABQEAAA8AAABkcnMvZG93bnJldi54bWxMj81OwzAQhO9IvIO1&#10;SNyo00qBEuJUFT8SBy6UcHfjJY6I11G8bdK3Z+FCLyOtZjTzbbmZQ6+OOKYukoHlIgOF1ETXUWug&#10;/ni5WYNKbMnZPhIaOGGCTXV5UdrCxYne8bjjVkkJpcIa8MxDoXVqPAabFnFAEu8rjsGynGOr3Wgn&#10;KQ+9XmXZrQ62I1nwdsBHj8337hAMMLvt8lQ/h/T6Ob89TT5rclsbc301bx9AMc78H4ZffEGHSpj2&#10;8UAuqd6APMJ/Kt46v89B7SV0t8pBV6U+p69+AAAA//8DAFBLAQItABQABgAIAAAAIQC2gziS/gAA&#10;AOEBAAATAAAAAAAAAAAAAAAAAAAAAABbQ29udGVudF9UeXBlc10ueG1sUEsBAi0AFAAGAAgAAAAh&#10;ADj9If/WAAAAlAEAAAsAAAAAAAAAAAAAAAAALwEAAF9yZWxzLy5yZWxzUEsBAi0AFAAGAAgAAAAh&#10;AKP4/DDEAgAA1AUAAA4AAAAAAAAAAAAAAAAALgIAAGRycy9lMm9Eb2MueG1sUEsBAi0AFAAGAAgA&#10;AAAhAHCvvSDaAAAABQEAAA8AAAAAAAAAAAAAAAAAHgUAAGRycy9kb3ducmV2LnhtbFBLBQYAAAAA&#10;BAAEAPMAAAAlBgAAAAA=&#10;" filled="f" stroked="f">
                <o:lock v:ext="edit" shapetype="t"/>
                <v:textbox style="mso-fit-shape-to-text:t">
                  <w:txbxContent>
                    <w:p w:rsidR="0015218D" w:rsidRDefault="0015218D" w:rsidP="0015218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:rsidR="0015218D" w:rsidRDefault="0015218D" w:rsidP="0015218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CB4495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Janvier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201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218D" w:rsidRPr="00A509F4" w:rsidRDefault="0015218D" w:rsidP="0015218D">
      <w:pPr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center" w:pos="5076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</w:p>
    <w:p w:rsidR="0015218D" w:rsidRPr="00A509F4" w:rsidRDefault="0015218D" w:rsidP="0015218D">
      <w:pPr>
        <w:tabs>
          <w:tab w:val="center" w:pos="5076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:rsidR="0015218D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:rsidR="00CB4495" w:rsidRPr="00A509F4" w:rsidRDefault="00CB4495" w:rsidP="00CB4495">
      <w:pPr>
        <w:tabs>
          <w:tab w:val="left" w:pos="7215"/>
        </w:tabs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 </w:t>
      </w:r>
    </w:p>
    <w:p w:rsidR="0015218D" w:rsidRPr="00A509F4" w:rsidRDefault="0015218D" w:rsidP="0015218D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-  </w:t>
      </w:r>
      <w:r w:rsidR="006E52F0" w:rsidRPr="006E52F0">
        <w:rPr>
          <w:rFonts w:cstheme="minorHAnsi"/>
          <w:sz w:val="26"/>
          <w:szCs w:val="24"/>
        </w:rPr>
        <w:t>27</w:t>
      </w:r>
      <w:r w:rsidR="002913EC">
        <w:rPr>
          <w:rFonts w:cstheme="minorHAnsi"/>
          <w:sz w:val="26"/>
          <w:szCs w:val="24"/>
        </w:rPr>
        <w:t xml:space="preserve"> </w:t>
      </w:r>
      <w:r w:rsidRPr="00A509F4">
        <w:rPr>
          <w:rFonts w:cstheme="minorHAnsi"/>
          <w:sz w:val="26"/>
          <w:szCs w:val="24"/>
        </w:rPr>
        <w:t>missions d’investigation menées</w:t>
      </w:r>
    </w:p>
    <w:p w:rsidR="0015218D" w:rsidRDefault="0015218D" w:rsidP="00CB4495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 -  </w:t>
      </w:r>
      <w:r w:rsidR="00CB4495">
        <w:rPr>
          <w:rFonts w:cstheme="minorHAnsi"/>
          <w:sz w:val="26"/>
          <w:szCs w:val="24"/>
        </w:rPr>
        <w:t>toute l’équipe de EAGLE-Côte d’Ivoire a eu droit à 21 jours de congé dû aux fêtes de fin d’année 2018.</w:t>
      </w:r>
    </w:p>
    <w:p w:rsidR="00CB4495" w:rsidRDefault="00CB4495" w:rsidP="00CB4495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- La reprise prévue pour Lundi 14 janvier 2019 a été effective dans les tous compartiments du projet.</w:t>
      </w:r>
      <w:bookmarkStart w:id="0" w:name="_GoBack"/>
      <w:bookmarkEnd w:id="0"/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:rsidR="0015218D" w:rsidRPr="00A509F4" w:rsidRDefault="006E52F0" w:rsidP="0015218D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6E52F0">
        <w:rPr>
          <w:rFonts w:cstheme="minorHAnsi"/>
          <w:sz w:val="26"/>
          <w:szCs w:val="24"/>
        </w:rPr>
        <w:t>27</w:t>
      </w:r>
      <w:r w:rsidR="0015218D" w:rsidRPr="00863136">
        <w:rPr>
          <w:rFonts w:cstheme="minorHAnsi"/>
          <w:color w:val="FF0000"/>
          <w:sz w:val="26"/>
          <w:szCs w:val="24"/>
        </w:rPr>
        <w:t xml:space="preserve"> </w:t>
      </w:r>
      <w:r w:rsidR="0015218D">
        <w:rPr>
          <w:rFonts w:cstheme="minorHAnsi"/>
          <w:sz w:val="26"/>
          <w:szCs w:val="24"/>
        </w:rPr>
        <w:t>enquêtes b</w:t>
      </w:r>
      <w:r w:rsidR="0015218D" w:rsidRPr="00A509F4">
        <w:rPr>
          <w:rFonts w:cstheme="minorHAnsi"/>
          <w:sz w:val="26"/>
          <w:szCs w:val="24"/>
        </w:rPr>
        <w:t xml:space="preserve">ien quadrillées ont été réalisées sur le terrain durant le mois </w:t>
      </w:r>
      <w:r w:rsidR="0015218D">
        <w:rPr>
          <w:rFonts w:cstheme="minorHAnsi"/>
          <w:sz w:val="26"/>
          <w:szCs w:val="24"/>
        </w:rPr>
        <w:t xml:space="preserve">2018. Ce, dans </w:t>
      </w:r>
      <w:r w:rsidR="00027336" w:rsidRPr="00027336">
        <w:rPr>
          <w:rFonts w:cstheme="minorHAnsi"/>
          <w:sz w:val="26"/>
          <w:szCs w:val="24"/>
        </w:rPr>
        <w:t>6</w:t>
      </w:r>
      <w:r w:rsidR="0015218D" w:rsidRPr="002913EC">
        <w:rPr>
          <w:rFonts w:cstheme="minorHAnsi"/>
          <w:sz w:val="26"/>
          <w:szCs w:val="24"/>
        </w:rPr>
        <w:t xml:space="preserve"> </w:t>
      </w:r>
      <w:r w:rsidR="0015218D">
        <w:rPr>
          <w:rFonts w:cstheme="minorHAnsi"/>
          <w:sz w:val="26"/>
          <w:szCs w:val="24"/>
        </w:rPr>
        <w:t xml:space="preserve">régions </w:t>
      </w:r>
      <w:r w:rsidR="0015218D" w:rsidRPr="00A509F4">
        <w:rPr>
          <w:rFonts w:cstheme="minorHAnsi"/>
          <w:sz w:val="26"/>
          <w:szCs w:val="24"/>
        </w:rPr>
        <w:t>et dans</w:t>
      </w:r>
      <w:r w:rsidR="0015218D">
        <w:rPr>
          <w:rFonts w:cstheme="minorHAnsi"/>
          <w:sz w:val="26"/>
          <w:szCs w:val="24"/>
        </w:rPr>
        <w:t xml:space="preserve"> </w:t>
      </w:r>
      <w:r w:rsidR="00027336" w:rsidRPr="00027336">
        <w:rPr>
          <w:rFonts w:cstheme="minorHAnsi"/>
          <w:sz w:val="26"/>
          <w:szCs w:val="24"/>
        </w:rPr>
        <w:t>15</w:t>
      </w:r>
      <w:r w:rsidR="0015218D" w:rsidRPr="00027336">
        <w:rPr>
          <w:rFonts w:cstheme="minorHAnsi"/>
          <w:sz w:val="26"/>
          <w:szCs w:val="24"/>
        </w:rPr>
        <w:t xml:space="preserve"> </w:t>
      </w:r>
      <w:r w:rsidR="0015218D">
        <w:rPr>
          <w:rFonts w:cstheme="minorHAnsi"/>
          <w:sz w:val="26"/>
          <w:szCs w:val="24"/>
        </w:rPr>
        <w:t>communes du pays</w:t>
      </w:r>
      <w:r w:rsidR="0015218D" w:rsidRPr="00A509F4">
        <w:rPr>
          <w:rFonts w:cstheme="minorHAnsi"/>
          <w:sz w:val="26"/>
          <w:szCs w:val="24"/>
        </w:rPr>
        <w:t>.</w:t>
      </w:r>
    </w:p>
    <w:p w:rsidR="0015218D" w:rsidRPr="00A509F4" w:rsidRDefault="0015218D" w:rsidP="0015218D">
      <w:pPr>
        <w:pStyle w:val="Paragraphedeliste"/>
        <w:numPr>
          <w:ilvl w:val="0"/>
          <w:numId w:val="1"/>
        </w:numPr>
        <w:tabs>
          <w:tab w:val="left" w:pos="7215"/>
        </w:tabs>
        <w:rPr>
          <w:rFonts w:cstheme="minorHAnsi"/>
          <w:sz w:val="26"/>
          <w:szCs w:val="24"/>
        </w:rPr>
      </w:pPr>
      <w:r w:rsidRPr="00A509F4">
        <w:rPr>
          <w:rFonts w:cstheme="minorHAnsi"/>
          <w:sz w:val="26"/>
          <w:szCs w:val="24"/>
        </w:rPr>
        <w:t xml:space="preserve"> D’importantes enquêtes à</w:t>
      </w:r>
      <w:r>
        <w:rPr>
          <w:rFonts w:cstheme="minorHAnsi"/>
          <w:sz w:val="26"/>
          <w:szCs w:val="24"/>
        </w:rPr>
        <w:t xml:space="preserve"> l’intérieur du pays</w:t>
      </w:r>
      <w:r w:rsidRPr="00A509F4">
        <w:rPr>
          <w:rFonts w:cstheme="minorHAnsi"/>
          <w:sz w:val="26"/>
          <w:szCs w:val="24"/>
        </w:rPr>
        <w:t>, mais pour le moment aucune d’entre elles n’a permis l’arrestation de trafiquant</w:t>
      </w:r>
      <w:r>
        <w:rPr>
          <w:rFonts w:cstheme="minorHAnsi"/>
          <w:sz w:val="26"/>
          <w:szCs w:val="24"/>
        </w:rPr>
        <w:t xml:space="preserve">s </w:t>
      </w:r>
      <w:r w:rsidRPr="00A509F4">
        <w:rPr>
          <w:rFonts w:cstheme="minorHAnsi"/>
          <w:sz w:val="26"/>
          <w:szCs w:val="24"/>
        </w:rPr>
        <w:t xml:space="preserve">bien vrai que ces investigations les ont conduits </w:t>
      </w:r>
      <w:r>
        <w:rPr>
          <w:rFonts w:cstheme="minorHAnsi"/>
          <w:sz w:val="26"/>
          <w:szCs w:val="24"/>
        </w:rPr>
        <w:t>vers 1</w:t>
      </w:r>
      <w:r w:rsidR="00027336">
        <w:rPr>
          <w:rFonts w:cstheme="minorHAnsi"/>
          <w:sz w:val="26"/>
          <w:szCs w:val="24"/>
        </w:rPr>
        <w:t>4</w:t>
      </w:r>
      <w:r>
        <w:rPr>
          <w:rFonts w:cstheme="minorHAnsi"/>
          <w:sz w:val="26"/>
          <w:szCs w:val="24"/>
        </w:rPr>
        <w:t xml:space="preserve"> tr</w:t>
      </w:r>
      <w:r w:rsidRPr="00A509F4">
        <w:rPr>
          <w:rFonts w:cstheme="minorHAnsi"/>
          <w:sz w:val="26"/>
          <w:szCs w:val="24"/>
        </w:rPr>
        <w:t>afiquants.</w:t>
      </w:r>
    </w:p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enquêtes</w:t>
      </w: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15218D" w:rsidRPr="00A509F4" w:rsidTr="007C2B46">
        <w:trPr>
          <w:trHeight w:val="1328"/>
        </w:trPr>
        <w:tc>
          <w:tcPr>
            <w:tcW w:w="2301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</w:p>
        </w:tc>
      </w:tr>
      <w:tr w:rsidR="0015218D" w:rsidRPr="00A509F4" w:rsidTr="007C2B46">
        <w:trPr>
          <w:trHeight w:val="783"/>
        </w:trPr>
        <w:tc>
          <w:tcPr>
            <w:tcW w:w="2301" w:type="dxa"/>
          </w:tcPr>
          <w:p w:rsidR="0015218D" w:rsidRPr="00A509F4" w:rsidRDefault="00D22D0E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27</w:t>
            </w:r>
          </w:p>
        </w:tc>
        <w:tc>
          <w:tcPr>
            <w:tcW w:w="2256" w:type="dxa"/>
          </w:tcPr>
          <w:p w:rsidR="0015218D" w:rsidRPr="00A509F4" w:rsidRDefault="00D22D0E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6</w:t>
            </w:r>
          </w:p>
        </w:tc>
        <w:tc>
          <w:tcPr>
            <w:tcW w:w="2287" w:type="dxa"/>
          </w:tcPr>
          <w:p w:rsidR="0015218D" w:rsidRPr="00A509F4" w:rsidRDefault="006E52F0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:rsidR="0015218D" w:rsidRPr="00A509F4" w:rsidRDefault="006E52F0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:rsidR="0015218D" w:rsidRPr="00A509F4" w:rsidRDefault="0015218D" w:rsidP="0015218D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:rsidR="0015218D" w:rsidRDefault="0015218D" w:rsidP="0015218D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:rsidR="0015218D" w:rsidRPr="00837BE4" w:rsidRDefault="00393D33" w:rsidP="0015218D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Durant ce mois-ci, d’excellentes pistes ont été pistées par l’équipe d’enquêteurs, mais aucune n’a pour le moment débouché sur une opération. Voici ainsi, présenté le tableau </w:t>
      </w:r>
      <w:r w:rsidR="00987E6F">
        <w:rPr>
          <w:rFonts w:cstheme="minorHAnsi"/>
          <w:sz w:val="26"/>
          <w:szCs w:val="24"/>
        </w:rPr>
        <w:t xml:space="preserve">ci-dessous </w:t>
      </w:r>
      <w:r>
        <w:rPr>
          <w:rFonts w:cstheme="minorHAnsi"/>
          <w:sz w:val="26"/>
          <w:szCs w:val="24"/>
        </w:rPr>
        <w:t xml:space="preserve">des opérations de </w:t>
      </w:r>
      <w:r w:rsidR="006E52F0">
        <w:rPr>
          <w:rFonts w:cstheme="minorHAnsi"/>
          <w:sz w:val="26"/>
          <w:szCs w:val="24"/>
        </w:rPr>
        <w:t xml:space="preserve">décembre </w:t>
      </w:r>
      <w:r>
        <w:rPr>
          <w:rFonts w:cstheme="minorHAnsi"/>
          <w:sz w:val="26"/>
          <w:szCs w:val="24"/>
        </w:rPr>
        <w:t>2018.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251"/>
        <w:gridCol w:w="2265"/>
        <w:gridCol w:w="2273"/>
      </w:tblGrid>
      <w:tr w:rsidR="0015218D" w:rsidRPr="00A509F4" w:rsidTr="00BF0C56">
        <w:trPr>
          <w:trHeight w:val="1130"/>
        </w:trPr>
        <w:tc>
          <w:tcPr>
            <w:tcW w:w="2273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51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265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2273" w:type="dxa"/>
          </w:tcPr>
          <w:p w:rsidR="0015218D" w:rsidRPr="00A509F4" w:rsidRDefault="0015218D" w:rsidP="00BF0C56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BF0C56" w:rsidRPr="00A509F4" w:rsidTr="00BF0C56">
        <w:tc>
          <w:tcPr>
            <w:tcW w:w="2273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51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65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3" w:type="dxa"/>
          </w:tcPr>
          <w:p w:rsidR="00BF0C56" w:rsidRDefault="00BF0C56" w:rsidP="00BF0C56">
            <w:pPr>
              <w:jc w:val="center"/>
            </w:pPr>
            <w:r w:rsidRPr="00155545"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E56D28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:rsidR="0015218D" w:rsidRPr="0030591A" w:rsidRDefault="0015218D" w:rsidP="0015218D">
      <w:pPr>
        <w:tabs>
          <w:tab w:val="left" w:pos="7215"/>
        </w:tabs>
        <w:rPr>
          <w:rFonts w:cstheme="minorHAnsi"/>
          <w:color w:val="0D0D0D"/>
          <w:sz w:val="26"/>
          <w:szCs w:val="24"/>
        </w:rPr>
      </w:pPr>
      <w:r w:rsidRPr="007B234A">
        <w:rPr>
          <w:sz w:val="26"/>
        </w:rPr>
        <w:t>Dans l’avancement des activités juridiques du projet</w:t>
      </w:r>
      <w:r w:rsidR="00FE5206">
        <w:rPr>
          <w:sz w:val="26"/>
        </w:rPr>
        <w:t xml:space="preserve"> ce</w:t>
      </w:r>
      <w:r w:rsidR="00F52CD8">
        <w:rPr>
          <w:sz w:val="26"/>
        </w:rPr>
        <w:t xml:space="preserve"> dernier mois de l’année</w:t>
      </w:r>
      <w:r w:rsidR="00FE5206">
        <w:rPr>
          <w:sz w:val="26"/>
        </w:rPr>
        <w:t xml:space="preserve">, </w:t>
      </w:r>
      <w:r w:rsidRPr="007B234A">
        <w:rPr>
          <w:sz w:val="26"/>
        </w:rPr>
        <w:t xml:space="preserve">les juristes ont intensifié les rencontres avec le </w:t>
      </w:r>
      <w:r w:rsidR="00F52CD8">
        <w:rPr>
          <w:sz w:val="26"/>
        </w:rPr>
        <w:t>juge du 4</w:t>
      </w:r>
      <w:r w:rsidR="00F52CD8" w:rsidRPr="00F52CD8">
        <w:rPr>
          <w:sz w:val="26"/>
          <w:vertAlign w:val="superscript"/>
        </w:rPr>
        <w:t>ème</w:t>
      </w:r>
      <w:r w:rsidR="00F52CD8">
        <w:rPr>
          <w:sz w:val="26"/>
        </w:rPr>
        <w:t xml:space="preserve"> cabinet d’instruction</w:t>
      </w:r>
      <w:r w:rsidRPr="007B234A">
        <w:rPr>
          <w:sz w:val="26"/>
        </w:rPr>
        <w:t xml:space="preserve"> du tribunal d’Abidjan et </w:t>
      </w:r>
      <w:r w:rsidR="00190CE4">
        <w:rPr>
          <w:sz w:val="26"/>
        </w:rPr>
        <w:t xml:space="preserve">des partenaires extérieurs </w:t>
      </w:r>
      <w:r w:rsidR="00075CBC">
        <w:rPr>
          <w:sz w:val="26"/>
        </w:rPr>
        <w:t xml:space="preserve">comme </w:t>
      </w:r>
      <w:r w:rsidR="008641ED">
        <w:rPr>
          <w:sz w:val="26"/>
        </w:rPr>
        <w:t>l’avocat du projet pour la réussite des activités juridiques</w:t>
      </w:r>
      <w:r w:rsidRPr="007B234A">
        <w:rPr>
          <w:sz w:val="26"/>
        </w:rPr>
        <w:t>. Aussi, comme activités menées ce mois-ci, la mise à jour de la base de données juridiques, les visites de prison</w:t>
      </w:r>
      <w:r w:rsidR="00075CBC">
        <w:rPr>
          <w:sz w:val="26"/>
        </w:rPr>
        <w:t>, l’analyse juridique des réquisitions liées aux cas de janvier dernier</w:t>
      </w:r>
      <w:r w:rsidRPr="007B234A">
        <w:rPr>
          <w:sz w:val="26"/>
        </w:rPr>
        <w:t xml:space="preserve">. Ils ont aussi participé </w:t>
      </w:r>
      <w:r w:rsidR="000A15BE">
        <w:rPr>
          <w:sz w:val="26"/>
        </w:rPr>
        <w:t xml:space="preserve">à la conduite des enquêtes avec les </w:t>
      </w:r>
      <w:r w:rsidRPr="007B234A">
        <w:rPr>
          <w:sz w:val="26"/>
        </w:rPr>
        <w:t>enquêteurs</w:t>
      </w:r>
      <w:r>
        <w:rPr>
          <w:sz w:val="26"/>
        </w:rPr>
        <w:t>. P</w:t>
      </w:r>
      <w:r w:rsidRPr="003B4789">
        <w:rPr>
          <w:sz w:val="26"/>
        </w:rPr>
        <w:t>our le suiv</w:t>
      </w:r>
      <w:r w:rsidR="00E03517">
        <w:rPr>
          <w:sz w:val="26"/>
        </w:rPr>
        <w:t>i</w:t>
      </w:r>
      <w:r w:rsidRPr="003B4789">
        <w:rPr>
          <w:sz w:val="26"/>
        </w:rPr>
        <w:t xml:space="preserve"> des cas juridiques devant les tribunaux, voire dans le tableau ci-dessous</w:t>
      </w:r>
      <w:r>
        <w:rPr>
          <w:sz w:val="26"/>
        </w:rPr>
        <w:t>.</w:t>
      </w: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1521"/>
        <w:gridCol w:w="1526"/>
        <w:gridCol w:w="1464"/>
        <w:gridCol w:w="1527"/>
        <w:gridCol w:w="1533"/>
      </w:tblGrid>
      <w:tr w:rsidR="0015218D" w:rsidRPr="00A509F4" w:rsidTr="007C2B46"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lastRenderedPageBreak/>
              <w:t>Nombre de Missions</w:t>
            </w:r>
          </w:p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et </w:t>
            </w:r>
            <w:r w:rsidRPr="00A509F4">
              <w:rPr>
                <w:rFonts w:cstheme="minorHAnsi"/>
                <w:b/>
                <w:sz w:val="26"/>
                <w:szCs w:val="24"/>
              </w:rPr>
              <w:t>condamnés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15218D" w:rsidRPr="00A509F4" w:rsidTr="007C2B46"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5218D" w:rsidRPr="00A509F4" w:rsidRDefault="00075CBC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15218D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A509F4" w:rsidRDefault="0015218D" w:rsidP="0015218D">
      <w:pPr>
        <w:tabs>
          <w:tab w:val="left" w:pos="7215"/>
        </w:tabs>
        <w:rPr>
          <w:rFonts w:cstheme="minorHAnsi"/>
          <w:sz w:val="26"/>
          <w:szCs w:val="24"/>
        </w:rPr>
      </w:pPr>
    </w:p>
    <w:p w:rsidR="0015218D" w:rsidRPr="00CE009D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:rsidR="0015218D" w:rsidRDefault="00863136" w:rsidP="0015218D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Ce mois-ci compte tenu d’une non arrestation, et d’une non activité intéressante au niveau environnemental, le département Média en accord avec la coordination a décidé de ne pas faire de publication d’autant plus que le département Média a atteint 378 publications répondant aux attentes de l’année.</w:t>
      </w:r>
    </w:p>
    <w:p w:rsidR="0015218D" w:rsidRPr="00A509F4" w:rsidRDefault="0015218D" w:rsidP="0015218D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15218D" w:rsidRPr="00A509F4" w:rsidTr="007C2B46">
        <w:trPr>
          <w:trHeight w:val="824"/>
        </w:trPr>
        <w:tc>
          <w:tcPr>
            <w:tcW w:w="2830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863136">
              <w:rPr>
                <w:rFonts w:cstheme="minorHAnsi"/>
                <w:b/>
                <w:sz w:val="26"/>
                <w:szCs w:val="24"/>
              </w:rPr>
              <w:t>0</w:t>
            </w:r>
          </w:p>
        </w:tc>
        <w:tc>
          <w:tcPr>
            <w:tcW w:w="6394" w:type="dxa"/>
            <w:gridSpan w:val="3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218D" w:rsidRPr="00A509F4" w:rsidTr="007C2B46">
        <w:trPr>
          <w:trHeight w:val="504"/>
        </w:trPr>
        <w:tc>
          <w:tcPr>
            <w:tcW w:w="2830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15218D" w:rsidRPr="00A509F4" w:rsidTr="007C2B46">
        <w:trPr>
          <w:trHeight w:val="488"/>
        </w:trPr>
        <w:tc>
          <w:tcPr>
            <w:tcW w:w="2830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:rsidR="0015218D" w:rsidRPr="00A509F4" w:rsidRDefault="00863136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</w:tcPr>
          <w:p w:rsidR="0015218D" w:rsidRPr="00A509F4" w:rsidRDefault="00863136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</w:tcPr>
          <w:p w:rsidR="0015218D" w:rsidRPr="00A509F4" w:rsidRDefault="00863136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:rsidR="00F70877" w:rsidRDefault="00F70877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F70877" w:rsidRDefault="00F70877" w:rsidP="0015218D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:rsidR="0015218D" w:rsidRDefault="0015218D" w:rsidP="0015218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15218D" w:rsidRPr="000D7250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6. Relations extérieures </w:t>
      </w:r>
    </w:p>
    <w:p w:rsidR="0015218D" w:rsidRPr="002913EC" w:rsidRDefault="0015218D" w:rsidP="002913EC">
      <w:pPr>
        <w:pStyle w:val="Paragraphedeliste"/>
        <w:numPr>
          <w:ilvl w:val="0"/>
          <w:numId w:val="2"/>
        </w:num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536C81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Plusieurs réunions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ont eu lieu </w:t>
      </w:r>
      <w:r w:rsidRPr="00536C81">
        <w:rPr>
          <w:rFonts w:eastAsia="Times New Roman" w:cstheme="minorHAnsi"/>
          <w:color w:val="212121"/>
          <w:sz w:val="26"/>
          <w:szCs w:val="24"/>
          <w:lang w:eastAsia="fr-FR"/>
        </w:rPr>
        <w:t>avec l'UCT pour poursuivre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les processus</w:t>
      </w:r>
      <w:r w:rsidRPr="00536C81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liés aux</w:t>
      </w:r>
      <w:r w:rsidRPr="004B761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réquisitions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trafiquants</w:t>
      </w:r>
      <w:r w:rsidR="002913EC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janvier dernier</w:t>
      </w:r>
      <w:r w:rsidRPr="002913EC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  <w:r w:rsidR="002913EC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p w:rsidR="008641ED" w:rsidRPr="008641ED" w:rsidRDefault="008641ED" w:rsidP="0015218D">
      <w:pPr>
        <w:pStyle w:val="Paragraphedeliste"/>
        <w:numPr>
          <w:ilvl w:val="0"/>
          <w:numId w:val="2"/>
        </w:num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sz w:val="26"/>
        </w:rPr>
        <w:t>Le Capitaine GBOMENE du MINEF officiant dans un aéroport a été rencontré pour la bonne marche des activités du projet</w:t>
      </w:r>
    </w:p>
    <w:p w:rsidR="00FE5206" w:rsidRPr="00FE5206" w:rsidRDefault="008641ED" w:rsidP="0015218D">
      <w:pPr>
        <w:pStyle w:val="Paragraphedeliste"/>
        <w:numPr>
          <w:ilvl w:val="0"/>
          <w:numId w:val="2"/>
        </w:numPr>
        <w:tabs>
          <w:tab w:val="left" w:pos="7215"/>
        </w:tabs>
        <w:spacing w:line="36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>Des recherches d’informateurs continuent pour arriver à dénicher des groupes de trafiquants.</w:t>
      </w:r>
    </w:p>
    <w:tbl>
      <w:tblPr>
        <w:tblW w:w="87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7"/>
      </w:tblGrid>
      <w:tr w:rsidR="0015218D" w:rsidRPr="00A509F4" w:rsidTr="007C2B46">
        <w:trPr>
          <w:trHeight w:val="992"/>
        </w:trPr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lastRenderedPageBreak/>
              <w:t>Nombre de rencontres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197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218D" w:rsidRPr="00A509F4" w:rsidTr="007C2B46">
        <w:trPr>
          <w:trHeight w:val="1120"/>
        </w:trPr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197" w:type="dxa"/>
          </w:tcPr>
          <w:p w:rsidR="0015218D" w:rsidRPr="00A509F4" w:rsidRDefault="0015218D" w:rsidP="007C2B46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15218D" w:rsidRPr="00A509F4" w:rsidTr="007C2B46">
        <w:trPr>
          <w:trHeight w:val="683"/>
        </w:trPr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193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197" w:type="dxa"/>
          </w:tcPr>
          <w:p w:rsidR="0015218D" w:rsidRPr="00A509F4" w:rsidRDefault="0015218D" w:rsidP="007C2B46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</w:tr>
    </w:tbl>
    <w:p w:rsidR="00F70877" w:rsidRDefault="00F70877" w:rsidP="0015218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15218D" w:rsidRPr="00A509F4" w:rsidRDefault="0015218D" w:rsidP="0015218D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:rsidR="0015218D" w:rsidRPr="00A509F4" w:rsidRDefault="0015218D" w:rsidP="0015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:rsidR="0015218D" w:rsidRPr="00A509F4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a procédé à une série d’entretien d’enquêteurs 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 ligne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d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>urant le mois de novembre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. Pour le moment, seul un enquêteur a répondu aux critères de sélection du projet. De ce fait, il a entamé sa période de test </w:t>
      </w:r>
      <w:r w:rsidR="00FE5206">
        <w:rPr>
          <w:rFonts w:eastAsia="Times New Roman" w:cstheme="minorHAnsi"/>
          <w:color w:val="212121"/>
          <w:sz w:val="26"/>
          <w:szCs w:val="24"/>
          <w:lang w:eastAsia="fr-FR"/>
        </w:rPr>
        <w:t>au milieu du mois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15218D" w:rsidP="00152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continue d’intensifier les recrutements pour renforcer le département investigation avec un enquêteur en ligne. Pour le moment aucun candidat ne correspond à nos critères.</w:t>
      </w:r>
    </w:p>
    <w:p w:rsidR="00FE5206" w:rsidRPr="00FE5206" w:rsidRDefault="00FE5206" w:rsidP="00FE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:rsidR="0015218D" w:rsidRDefault="00FE5206" w:rsidP="00FE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 xml:space="preserve">•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Suivi de la phase d’instruction d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es </w:t>
      </w:r>
      <w:r w:rsidRPr="00FE5206">
        <w:rPr>
          <w:rFonts w:eastAsia="Times New Roman" w:cstheme="minorHAnsi"/>
          <w:color w:val="212121"/>
          <w:sz w:val="26"/>
          <w:szCs w:val="24"/>
          <w:lang w:eastAsia="fr-FR"/>
        </w:rPr>
        <w:t>cas de janvier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dernier</w:t>
      </w:r>
    </w:p>
    <w:p w:rsidR="00FE5206" w:rsidRPr="00A509F4" w:rsidRDefault="00FE5206" w:rsidP="00FE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68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4302"/>
      </w:tblGrid>
      <w:tr w:rsidR="0015218D" w:rsidRPr="00A509F4" w:rsidTr="007C2B46">
        <w:trPr>
          <w:trHeight w:val="471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218D" w:rsidRPr="00A509F4" w:rsidTr="007C2B46">
        <w:trPr>
          <w:trHeight w:val="380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218D" w:rsidRPr="00A509F4" w:rsidTr="007C2B46">
        <w:trPr>
          <w:trHeight w:val="444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FE5206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FE5206" w:rsidRPr="00A509F4" w:rsidTr="007C2B46">
        <w:trPr>
          <w:trHeight w:val="441"/>
        </w:trPr>
        <w:tc>
          <w:tcPr>
            <w:tcW w:w="4385" w:type="dxa"/>
          </w:tcPr>
          <w:p w:rsidR="00FE5206" w:rsidRPr="00A509F4" w:rsidRDefault="00FE5206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302" w:type="dxa"/>
          </w:tcPr>
          <w:p w:rsidR="00FE5206" w:rsidRPr="00A509F4" w:rsidRDefault="00FE5206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4E42B0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218D" w:rsidRPr="00A509F4" w:rsidTr="007C2B46">
        <w:trPr>
          <w:trHeight w:val="441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218D" w:rsidRPr="00A509F4" w:rsidTr="007C2B46">
        <w:trPr>
          <w:trHeight w:val="759"/>
        </w:trPr>
        <w:tc>
          <w:tcPr>
            <w:tcW w:w="4385" w:type="dxa"/>
          </w:tcPr>
          <w:p w:rsidR="0015218D" w:rsidRPr="00A509F4" w:rsidRDefault="0015218D" w:rsidP="007C2B46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218D" w:rsidRPr="00A509F4" w:rsidTr="007C2B46">
        <w:trPr>
          <w:trHeight w:val="899"/>
        </w:trPr>
        <w:tc>
          <w:tcPr>
            <w:tcW w:w="4385" w:type="dxa"/>
          </w:tcPr>
          <w:p w:rsidR="0015218D" w:rsidRPr="00A509F4" w:rsidRDefault="0015218D" w:rsidP="007C2B46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302" w:type="dxa"/>
          </w:tcPr>
          <w:p w:rsidR="0015218D" w:rsidRPr="00A509F4" w:rsidRDefault="0015218D" w:rsidP="007C2B46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4E42B0">
              <w:rPr>
                <w:rFonts w:cstheme="minorHAnsi"/>
                <w:color w:val="0D0D0D"/>
                <w:sz w:val="26"/>
                <w:szCs w:val="24"/>
              </w:rPr>
              <w:t>1</w:t>
            </w:r>
          </w:p>
        </w:tc>
      </w:tr>
    </w:tbl>
    <w:p w:rsidR="0015218D" w:rsidRDefault="0015218D" w:rsidP="0015218D"/>
    <w:p w:rsidR="0015218D" w:rsidRDefault="0015218D"/>
    <w:sectPr w:rsidR="0015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007C"/>
    <w:multiLevelType w:val="hybridMultilevel"/>
    <w:tmpl w:val="D23CDF92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8D"/>
    <w:rsid w:val="00027336"/>
    <w:rsid w:val="000365D1"/>
    <w:rsid w:val="00075CBC"/>
    <w:rsid w:val="000A15BE"/>
    <w:rsid w:val="0015218D"/>
    <w:rsid w:val="00190CE4"/>
    <w:rsid w:val="001E3FCD"/>
    <w:rsid w:val="002913EC"/>
    <w:rsid w:val="002F0A37"/>
    <w:rsid w:val="00350DCD"/>
    <w:rsid w:val="00393D33"/>
    <w:rsid w:val="00477519"/>
    <w:rsid w:val="004E42B0"/>
    <w:rsid w:val="006E52F0"/>
    <w:rsid w:val="00722292"/>
    <w:rsid w:val="00863136"/>
    <w:rsid w:val="008641ED"/>
    <w:rsid w:val="00884E3B"/>
    <w:rsid w:val="008A7CED"/>
    <w:rsid w:val="00987E6F"/>
    <w:rsid w:val="00A51EC5"/>
    <w:rsid w:val="00B22912"/>
    <w:rsid w:val="00B23F03"/>
    <w:rsid w:val="00BF0C56"/>
    <w:rsid w:val="00CB4495"/>
    <w:rsid w:val="00D22D0E"/>
    <w:rsid w:val="00E03517"/>
    <w:rsid w:val="00F52CD8"/>
    <w:rsid w:val="00F70877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FDB4"/>
  <w15:chartTrackingRefBased/>
  <w15:docId w15:val="{68C4D2B0-B9CE-48F0-B4E1-66551A0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1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21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5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18D"/>
  </w:style>
  <w:style w:type="character" w:styleId="Lienhypertexte">
    <w:name w:val="Hyperlink"/>
    <w:basedOn w:val="Policepardfaut"/>
    <w:uiPriority w:val="99"/>
    <w:semiHidden/>
    <w:unhideWhenUsed/>
    <w:rsid w:val="00B2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32</cp:revision>
  <dcterms:created xsi:type="dcterms:W3CDTF">2018-11-27T13:05:00Z</dcterms:created>
  <dcterms:modified xsi:type="dcterms:W3CDTF">2019-01-14T08:49:00Z</dcterms:modified>
</cp:coreProperties>
</file>